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4E114D">
      <w:pPr>
        <w:rPr>
          <w:rFonts w:hint="eastAsia"/>
          <w:lang w:val="en-US" w:eastAsia="zh-CN"/>
        </w:rPr>
      </w:pPr>
      <w:r>
        <w:rPr>
          <w:rFonts w:hint="eastAsia"/>
          <w:sz w:val="32"/>
          <w:szCs w:val="32"/>
          <w:lang w:eastAsia="zh-CN"/>
        </w:rPr>
        <w:t>附件</w:t>
      </w:r>
      <w:r>
        <w:rPr>
          <w:rFonts w:hint="eastAsia"/>
          <w:sz w:val="32"/>
          <w:szCs w:val="32"/>
          <w:lang w:val="en-US" w:eastAsia="zh-CN"/>
        </w:rPr>
        <w:t>2</w:t>
      </w:r>
    </w:p>
    <w:p w14:paraId="4EBC6802">
      <w:pPr>
        <w:jc w:val="center"/>
        <w:rPr>
          <w:rFonts w:hint="eastAsia"/>
          <w:lang w:val="en-US" w:eastAsia="zh-CN"/>
        </w:rPr>
      </w:pPr>
      <w:r>
        <w:rPr>
          <w:rFonts w:hint="eastAsia" w:ascii="方正小标宋简体" w:hAnsi="方正小标宋简体" w:eastAsia="方正小标宋简体" w:cs="方正小标宋简体"/>
          <w:sz w:val="44"/>
          <w:szCs w:val="44"/>
          <w:lang w:val="en-US" w:eastAsia="zh-CN"/>
        </w:rPr>
        <w:t>采取集中决策方式选择银行</w:t>
      </w:r>
      <w:r>
        <w:rPr>
          <w:rFonts w:hint="eastAsia" w:ascii="方正小标宋简体" w:hAnsi="方正小标宋简体" w:eastAsia="方正小标宋简体" w:cs="方正小标宋简体"/>
          <w:color w:val="auto"/>
          <w:sz w:val="44"/>
          <w:szCs w:val="44"/>
          <w:shd w:val="clear" w:color="auto" w:fill="FFFFFF"/>
          <w:lang w:val="en-US" w:eastAsia="zh-CN"/>
        </w:rPr>
        <w:t>开立梧州市消防救援综合服务中心银行账户</w:t>
      </w:r>
      <w:r>
        <w:rPr>
          <w:rFonts w:hint="eastAsia" w:ascii="方正小标宋简体" w:hAnsi="方正小标宋简体" w:eastAsia="方正小标宋简体" w:cs="方正小标宋简体"/>
          <w:sz w:val="44"/>
          <w:szCs w:val="44"/>
          <w:lang w:val="en-US" w:eastAsia="zh-CN"/>
        </w:rPr>
        <w:t>指标申报表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4"/>
        <w:gridCol w:w="1245"/>
        <w:gridCol w:w="5040"/>
        <w:gridCol w:w="923"/>
      </w:tblGrid>
      <w:tr w14:paraId="1B7B9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trPr>
        <w:tc>
          <w:tcPr>
            <w:tcW w:w="1314" w:type="dxa"/>
            <w:noWrap w:val="0"/>
            <w:vAlign w:val="center"/>
          </w:tcPr>
          <w:p w14:paraId="68990F55">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类别</w:t>
            </w:r>
          </w:p>
        </w:tc>
        <w:tc>
          <w:tcPr>
            <w:tcW w:w="1245" w:type="dxa"/>
            <w:noWrap w:val="0"/>
            <w:vAlign w:val="center"/>
          </w:tcPr>
          <w:p w14:paraId="3748A1C7">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指标</w:t>
            </w:r>
          </w:p>
        </w:tc>
        <w:tc>
          <w:tcPr>
            <w:tcW w:w="5040" w:type="dxa"/>
            <w:noWrap w:val="0"/>
            <w:vAlign w:val="center"/>
          </w:tcPr>
          <w:p w14:paraId="1042ABF1">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数据或说明</w:t>
            </w:r>
          </w:p>
        </w:tc>
        <w:tc>
          <w:tcPr>
            <w:tcW w:w="923" w:type="dxa"/>
            <w:noWrap w:val="0"/>
            <w:vAlign w:val="center"/>
          </w:tcPr>
          <w:p w14:paraId="52C1A510">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备注</w:t>
            </w:r>
          </w:p>
        </w:tc>
      </w:tr>
      <w:tr w14:paraId="00CE0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trPr>
        <w:tc>
          <w:tcPr>
            <w:tcW w:w="1314" w:type="dxa"/>
            <w:vMerge w:val="restart"/>
            <w:noWrap w:val="0"/>
            <w:vAlign w:val="center"/>
          </w:tcPr>
          <w:p w14:paraId="324E0D0A">
            <w:pPr>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vertAlign w:val="baseline"/>
                <w:lang w:val="en-US" w:eastAsia="zh-CN"/>
              </w:rPr>
              <w:t>一、经营状况（</w:t>
            </w:r>
            <w:r>
              <w:rPr>
                <w:rFonts w:hint="eastAsia" w:ascii="宋体" w:hAnsi="宋体" w:cs="宋体"/>
                <w:sz w:val="20"/>
                <w:szCs w:val="20"/>
                <w:vertAlign w:val="baseline"/>
                <w:lang w:val="en-US" w:eastAsia="zh-CN"/>
              </w:rPr>
              <w:t>40</w:t>
            </w:r>
            <w:r>
              <w:rPr>
                <w:rFonts w:hint="eastAsia" w:ascii="宋体" w:hAnsi="宋体" w:eastAsia="宋体" w:cs="宋体"/>
                <w:sz w:val="20"/>
                <w:szCs w:val="20"/>
                <w:vertAlign w:val="baseline"/>
                <w:lang w:val="en-US" w:eastAsia="zh-CN"/>
              </w:rPr>
              <w:t>分，</w:t>
            </w:r>
            <w:r>
              <w:rPr>
                <w:rFonts w:hint="eastAsia" w:ascii="宋体" w:hAnsi="宋体" w:eastAsia="宋体" w:cs="宋体"/>
                <w:kern w:val="2"/>
                <w:sz w:val="20"/>
                <w:szCs w:val="20"/>
                <w:lang w:val="en-US" w:eastAsia="zh-CN" w:bidi="ar-SA"/>
              </w:rPr>
              <w:t>2024年度监管指标）</w:t>
            </w:r>
          </w:p>
        </w:tc>
        <w:tc>
          <w:tcPr>
            <w:tcW w:w="1245" w:type="dxa"/>
            <w:noWrap w:val="0"/>
            <w:vAlign w:val="center"/>
          </w:tcPr>
          <w:p w14:paraId="42DF5A00">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资本充足率</w:t>
            </w:r>
          </w:p>
        </w:tc>
        <w:tc>
          <w:tcPr>
            <w:tcW w:w="5040" w:type="dxa"/>
            <w:noWrap w:val="0"/>
            <w:vAlign w:val="center"/>
          </w:tcPr>
          <w:p w14:paraId="1F2AF714">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资本充足率达到监管标准，即可获得基础分</w:t>
            </w:r>
            <w:r>
              <w:rPr>
                <w:rFonts w:hint="eastAsia" w:ascii="宋体" w:hAnsi="宋体" w:cs="宋体"/>
                <w:sz w:val="18"/>
                <w:szCs w:val="18"/>
                <w:vertAlign w:val="baseline"/>
                <w:lang w:val="en-US" w:eastAsia="zh-CN"/>
              </w:rPr>
              <w:t>6</w:t>
            </w:r>
            <w:r>
              <w:rPr>
                <w:rFonts w:hint="eastAsia" w:ascii="宋体" w:hAnsi="宋体" w:eastAsia="宋体" w:cs="宋体"/>
                <w:sz w:val="18"/>
                <w:szCs w:val="18"/>
                <w:vertAlign w:val="baseline"/>
                <w:lang w:val="en-US" w:eastAsia="zh-CN"/>
              </w:rPr>
              <w:t>分；其余</w:t>
            </w:r>
            <w:r>
              <w:rPr>
                <w:rFonts w:hint="eastAsia" w:ascii="宋体" w:hAnsi="宋体" w:cs="宋体"/>
                <w:sz w:val="18"/>
                <w:szCs w:val="18"/>
                <w:vertAlign w:val="baseline"/>
                <w:lang w:val="en-US" w:eastAsia="zh-CN"/>
              </w:rPr>
              <w:t>2</w:t>
            </w:r>
            <w:r>
              <w:rPr>
                <w:rFonts w:hint="eastAsia" w:ascii="宋体" w:hAnsi="宋体" w:eastAsia="宋体" w:cs="宋体"/>
                <w:sz w:val="18"/>
                <w:szCs w:val="18"/>
                <w:vertAlign w:val="baseline"/>
                <w:lang w:val="en-US" w:eastAsia="zh-CN"/>
              </w:rPr>
              <w:t>分，按照资本充足率进行递减排名，第一名得</w:t>
            </w:r>
            <w:r>
              <w:rPr>
                <w:rFonts w:hint="eastAsia" w:ascii="宋体" w:hAnsi="宋体" w:cs="宋体"/>
                <w:sz w:val="18"/>
                <w:szCs w:val="18"/>
                <w:vertAlign w:val="baseline"/>
                <w:lang w:val="en-US" w:eastAsia="zh-CN"/>
              </w:rPr>
              <w:t>2</w:t>
            </w:r>
            <w:r>
              <w:rPr>
                <w:rFonts w:hint="eastAsia" w:ascii="宋体" w:hAnsi="宋体" w:eastAsia="宋体" w:cs="宋体"/>
                <w:sz w:val="18"/>
                <w:szCs w:val="18"/>
                <w:vertAlign w:val="baseline"/>
                <w:lang w:val="en-US" w:eastAsia="zh-CN"/>
              </w:rPr>
              <w:t xml:space="preserve">分，从第二名开始依次递减0.1分，如数值相同，按同档计分。 </w:t>
            </w:r>
          </w:p>
        </w:tc>
        <w:tc>
          <w:tcPr>
            <w:tcW w:w="923" w:type="dxa"/>
            <w:noWrap w:val="0"/>
            <w:vAlign w:val="center"/>
          </w:tcPr>
          <w:p w14:paraId="35DD42BE">
            <w:pPr>
              <w:jc w:val="center"/>
              <w:rPr>
                <w:rFonts w:hint="default" w:ascii="宋体" w:hAnsi="宋体" w:eastAsia="宋体" w:cs="宋体"/>
                <w:sz w:val="20"/>
                <w:szCs w:val="20"/>
                <w:vertAlign w:val="baseline"/>
                <w:lang w:val="en-US" w:eastAsia="zh-CN"/>
              </w:rPr>
            </w:pPr>
            <w:r>
              <w:rPr>
                <w:rFonts w:hint="eastAsia" w:ascii="宋体" w:hAnsi="宋体" w:cs="宋体"/>
                <w:sz w:val="20"/>
                <w:szCs w:val="20"/>
                <w:vertAlign w:val="baseline"/>
                <w:lang w:val="en-US" w:eastAsia="zh-CN"/>
              </w:rPr>
              <w:t>8</w:t>
            </w:r>
            <w:r>
              <w:rPr>
                <w:rFonts w:hint="eastAsia" w:ascii="宋体" w:hAnsi="宋体" w:eastAsia="宋体" w:cs="宋体"/>
                <w:sz w:val="20"/>
                <w:szCs w:val="20"/>
                <w:vertAlign w:val="baseline"/>
                <w:lang w:val="en-US" w:eastAsia="zh-CN"/>
              </w:rPr>
              <w:t>分</w:t>
            </w:r>
          </w:p>
        </w:tc>
      </w:tr>
      <w:tr w14:paraId="321FE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1314" w:type="dxa"/>
            <w:vMerge w:val="continue"/>
            <w:noWrap w:val="0"/>
            <w:vAlign w:val="center"/>
          </w:tcPr>
          <w:p w14:paraId="16C2B46C">
            <w:pPr>
              <w:jc w:val="center"/>
              <w:rPr>
                <w:rFonts w:hint="eastAsia" w:ascii="宋体" w:hAnsi="宋体" w:eastAsia="宋体" w:cs="宋体"/>
                <w:sz w:val="20"/>
                <w:szCs w:val="20"/>
                <w:vertAlign w:val="baseline"/>
                <w:lang w:val="en-US" w:eastAsia="zh-CN"/>
              </w:rPr>
            </w:pPr>
          </w:p>
        </w:tc>
        <w:tc>
          <w:tcPr>
            <w:tcW w:w="1245" w:type="dxa"/>
            <w:noWrap w:val="0"/>
            <w:vAlign w:val="center"/>
          </w:tcPr>
          <w:p w14:paraId="79D52EAD">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不良贷款率</w:t>
            </w:r>
          </w:p>
        </w:tc>
        <w:tc>
          <w:tcPr>
            <w:tcW w:w="5040" w:type="dxa"/>
            <w:noWrap w:val="0"/>
            <w:vAlign w:val="center"/>
          </w:tcPr>
          <w:p w14:paraId="0A69DF35">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不良贷款率达到监管标准，即可获得基础分</w:t>
            </w:r>
            <w:r>
              <w:rPr>
                <w:rFonts w:hint="eastAsia" w:ascii="宋体" w:hAnsi="宋体" w:cs="宋体"/>
                <w:sz w:val="18"/>
                <w:szCs w:val="18"/>
                <w:vertAlign w:val="baseline"/>
                <w:lang w:val="en-US" w:eastAsia="zh-CN"/>
              </w:rPr>
              <w:t>6</w:t>
            </w:r>
            <w:r>
              <w:rPr>
                <w:rFonts w:hint="eastAsia" w:ascii="宋体" w:hAnsi="宋体" w:eastAsia="宋体" w:cs="宋体"/>
                <w:sz w:val="18"/>
                <w:szCs w:val="18"/>
                <w:vertAlign w:val="baseline"/>
                <w:lang w:val="en-US" w:eastAsia="zh-CN"/>
              </w:rPr>
              <w:t>分；其余</w:t>
            </w:r>
            <w:r>
              <w:rPr>
                <w:rFonts w:hint="eastAsia" w:ascii="宋体" w:hAnsi="宋体" w:cs="宋体"/>
                <w:sz w:val="18"/>
                <w:szCs w:val="18"/>
                <w:vertAlign w:val="baseline"/>
                <w:lang w:val="en-US" w:eastAsia="zh-CN"/>
              </w:rPr>
              <w:t>2</w:t>
            </w:r>
            <w:r>
              <w:rPr>
                <w:rFonts w:hint="eastAsia" w:ascii="宋体" w:hAnsi="宋体" w:eastAsia="宋体" w:cs="宋体"/>
                <w:sz w:val="18"/>
                <w:szCs w:val="18"/>
                <w:vertAlign w:val="baseline"/>
                <w:lang w:val="en-US" w:eastAsia="zh-CN"/>
              </w:rPr>
              <w:t>分，按照不良贷款率进行递增排名，第一名得1分，从第二名开始依次递减0.1分，如数值相同，按同档计分。</w:t>
            </w:r>
          </w:p>
        </w:tc>
        <w:tc>
          <w:tcPr>
            <w:tcW w:w="923" w:type="dxa"/>
            <w:noWrap w:val="0"/>
            <w:vAlign w:val="center"/>
          </w:tcPr>
          <w:p w14:paraId="0D7DF21B">
            <w:pPr>
              <w:jc w:val="center"/>
              <w:rPr>
                <w:rFonts w:hint="eastAsia" w:ascii="宋体" w:hAnsi="宋体" w:eastAsia="宋体" w:cs="宋体"/>
                <w:sz w:val="20"/>
                <w:szCs w:val="20"/>
                <w:vertAlign w:val="baseline"/>
                <w:lang w:val="en-US" w:eastAsia="zh-CN"/>
              </w:rPr>
            </w:pPr>
            <w:r>
              <w:rPr>
                <w:rFonts w:hint="eastAsia" w:ascii="宋体" w:hAnsi="宋体" w:cs="宋体"/>
                <w:sz w:val="20"/>
                <w:szCs w:val="20"/>
                <w:vertAlign w:val="baseline"/>
                <w:lang w:val="en-US" w:eastAsia="zh-CN"/>
              </w:rPr>
              <w:t>8</w:t>
            </w:r>
            <w:r>
              <w:rPr>
                <w:rFonts w:hint="eastAsia" w:ascii="宋体" w:hAnsi="宋体" w:eastAsia="宋体" w:cs="宋体"/>
                <w:sz w:val="20"/>
                <w:szCs w:val="20"/>
                <w:vertAlign w:val="baseline"/>
                <w:lang w:val="en-US" w:eastAsia="zh-CN"/>
              </w:rPr>
              <w:t>分</w:t>
            </w:r>
          </w:p>
        </w:tc>
      </w:tr>
      <w:tr w14:paraId="231B4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1314" w:type="dxa"/>
            <w:vMerge w:val="continue"/>
            <w:noWrap w:val="0"/>
            <w:vAlign w:val="center"/>
          </w:tcPr>
          <w:p w14:paraId="12A66CE4">
            <w:pPr>
              <w:jc w:val="center"/>
              <w:rPr>
                <w:rFonts w:hint="eastAsia" w:ascii="宋体" w:hAnsi="宋体" w:eastAsia="宋体" w:cs="宋体"/>
                <w:sz w:val="20"/>
                <w:szCs w:val="20"/>
                <w:vertAlign w:val="baseline"/>
                <w:lang w:val="en-US" w:eastAsia="zh-CN"/>
              </w:rPr>
            </w:pPr>
          </w:p>
        </w:tc>
        <w:tc>
          <w:tcPr>
            <w:tcW w:w="1245" w:type="dxa"/>
            <w:noWrap w:val="0"/>
            <w:vAlign w:val="center"/>
          </w:tcPr>
          <w:p w14:paraId="06B7EC4D">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拨备覆盖率</w:t>
            </w:r>
          </w:p>
        </w:tc>
        <w:tc>
          <w:tcPr>
            <w:tcW w:w="5040" w:type="dxa"/>
            <w:noWrap w:val="0"/>
            <w:vAlign w:val="center"/>
          </w:tcPr>
          <w:p w14:paraId="4ECEB40E">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拨备覆盖率达到监管标准，即可获得基础分</w:t>
            </w:r>
            <w:r>
              <w:rPr>
                <w:rFonts w:hint="eastAsia" w:ascii="宋体" w:hAnsi="宋体" w:cs="宋体"/>
                <w:sz w:val="18"/>
                <w:szCs w:val="18"/>
                <w:vertAlign w:val="baseline"/>
                <w:lang w:val="en-US" w:eastAsia="zh-CN"/>
              </w:rPr>
              <w:t>6</w:t>
            </w:r>
            <w:r>
              <w:rPr>
                <w:rFonts w:hint="eastAsia" w:ascii="宋体" w:hAnsi="宋体" w:eastAsia="宋体" w:cs="宋体"/>
                <w:sz w:val="18"/>
                <w:szCs w:val="18"/>
                <w:vertAlign w:val="baseline"/>
                <w:lang w:val="en-US" w:eastAsia="zh-CN"/>
              </w:rPr>
              <w:t>分；其余</w:t>
            </w:r>
            <w:r>
              <w:rPr>
                <w:rFonts w:hint="eastAsia" w:ascii="宋体" w:hAnsi="宋体" w:cs="宋体"/>
                <w:sz w:val="18"/>
                <w:szCs w:val="18"/>
                <w:vertAlign w:val="baseline"/>
                <w:lang w:val="en-US" w:eastAsia="zh-CN"/>
              </w:rPr>
              <w:t>2</w:t>
            </w:r>
            <w:r>
              <w:rPr>
                <w:rFonts w:hint="eastAsia" w:ascii="宋体" w:hAnsi="宋体" w:eastAsia="宋体" w:cs="宋体"/>
                <w:sz w:val="18"/>
                <w:szCs w:val="18"/>
                <w:vertAlign w:val="baseline"/>
                <w:lang w:val="en-US" w:eastAsia="zh-CN"/>
              </w:rPr>
              <w:t>分，按照拨备覆盖率进行递减排名，第一名得1分，从第二名开始依次递减0.1分，如数值相同，按同档计分。</w:t>
            </w:r>
          </w:p>
        </w:tc>
        <w:tc>
          <w:tcPr>
            <w:tcW w:w="923" w:type="dxa"/>
            <w:noWrap w:val="0"/>
            <w:vAlign w:val="center"/>
          </w:tcPr>
          <w:p w14:paraId="48A5434D">
            <w:pPr>
              <w:jc w:val="center"/>
              <w:rPr>
                <w:rFonts w:hint="eastAsia" w:ascii="宋体" w:hAnsi="宋体" w:eastAsia="宋体" w:cs="宋体"/>
                <w:sz w:val="20"/>
                <w:szCs w:val="20"/>
                <w:vertAlign w:val="baseline"/>
                <w:lang w:val="en-US" w:eastAsia="zh-CN"/>
              </w:rPr>
            </w:pPr>
            <w:r>
              <w:rPr>
                <w:rFonts w:hint="eastAsia" w:ascii="宋体" w:hAnsi="宋体" w:cs="宋体"/>
                <w:sz w:val="20"/>
                <w:szCs w:val="20"/>
                <w:vertAlign w:val="baseline"/>
                <w:lang w:val="en-US" w:eastAsia="zh-CN"/>
              </w:rPr>
              <w:t>8</w:t>
            </w:r>
            <w:r>
              <w:rPr>
                <w:rFonts w:hint="eastAsia" w:ascii="宋体" w:hAnsi="宋体" w:eastAsia="宋体" w:cs="宋体"/>
                <w:sz w:val="20"/>
                <w:szCs w:val="20"/>
                <w:vertAlign w:val="baseline"/>
                <w:lang w:val="en-US" w:eastAsia="zh-CN"/>
              </w:rPr>
              <w:t>分</w:t>
            </w:r>
          </w:p>
        </w:tc>
      </w:tr>
      <w:tr w14:paraId="6649A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trPr>
        <w:tc>
          <w:tcPr>
            <w:tcW w:w="1314" w:type="dxa"/>
            <w:vMerge w:val="continue"/>
            <w:noWrap w:val="0"/>
            <w:vAlign w:val="center"/>
          </w:tcPr>
          <w:p w14:paraId="5EDA9460">
            <w:pPr>
              <w:jc w:val="center"/>
              <w:rPr>
                <w:rFonts w:hint="eastAsia" w:ascii="宋体" w:hAnsi="宋体" w:eastAsia="宋体" w:cs="宋体"/>
                <w:sz w:val="20"/>
                <w:szCs w:val="20"/>
                <w:vertAlign w:val="baseline"/>
                <w:lang w:val="en-US" w:eastAsia="zh-CN"/>
              </w:rPr>
            </w:pPr>
          </w:p>
        </w:tc>
        <w:tc>
          <w:tcPr>
            <w:tcW w:w="1245" w:type="dxa"/>
            <w:noWrap w:val="0"/>
            <w:vAlign w:val="center"/>
          </w:tcPr>
          <w:p w14:paraId="13ABB232">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流动性覆盖率</w:t>
            </w:r>
          </w:p>
        </w:tc>
        <w:tc>
          <w:tcPr>
            <w:tcW w:w="5040" w:type="dxa"/>
            <w:noWrap w:val="0"/>
            <w:vAlign w:val="center"/>
          </w:tcPr>
          <w:p w14:paraId="29228608">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流动性覆盖率达到监管标准，即可获得基础分</w:t>
            </w:r>
            <w:r>
              <w:rPr>
                <w:rFonts w:hint="eastAsia" w:ascii="宋体" w:hAnsi="宋体" w:cs="宋体"/>
                <w:sz w:val="18"/>
                <w:szCs w:val="18"/>
                <w:vertAlign w:val="baseline"/>
                <w:lang w:val="en-US" w:eastAsia="zh-CN"/>
              </w:rPr>
              <w:t>6</w:t>
            </w:r>
            <w:r>
              <w:rPr>
                <w:rFonts w:hint="eastAsia" w:ascii="宋体" w:hAnsi="宋体" w:eastAsia="宋体" w:cs="宋体"/>
                <w:sz w:val="18"/>
                <w:szCs w:val="18"/>
                <w:vertAlign w:val="baseline"/>
                <w:lang w:val="en-US" w:eastAsia="zh-CN"/>
              </w:rPr>
              <w:t>分；其余</w:t>
            </w:r>
            <w:r>
              <w:rPr>
                <w:rFonts w:hint="eastAsia" w:ascii="宋体" w:hAnsi="宋体" w:cs="宋体"/>
                <w:sz w:val="18"/>
                <w:szCs w:val="18"/>
                <w:vertAlign w:val="baseline"/>
                <w:lang w:val="en-US" w:eastAsia="zh-CN"/>
              </w:rPr>
              <w:t>2</w:t>
            </w:r>
            <w:r>
              <w:rPr>
                <w:rFonts w:hint="eastAsia" w:ascii="宋体" w:hAnsi="宋体" w:eastAsia="宋体" w:cs="宋体"/>
                <w:sz w:val="18"/>
                <w:szCs w:val="18"/>
                <w:vertAlign w:val="baseline"/>
                <w:lang w:val="en-US" w:eastAsia="zh-CN"/>
              </w:rPr>
              <w:t>分，按照流动性覆盖率进行递减排名，第一名得1分，从第二名开始依次递减0.1分，如数值相同，按同档计分。</w:t>
            </w:r>
          </w:p>
        </w:tc>
        <w:tc>
          <w:tcPr>
            <w:tcW w:w="923" w:type="dxa"/>
            <w:noWrap w:val="0"/>
            <w:vAlign w:val="center"/>
          </w:tcPr>
          <w:p w14:paraId="4282224E">
            <w:pPr>
              <w:jc w:val="center"/>
              <w:rPr>
                <w:rFonts w:hint="eastAsia" w:ascii="宋体" w:hAnsi="宋体" w:eastAsia="宋体" w:cs="宋体"/>
                <w:sz w:val="20"/>
                <w:szCs w:val="20"/>
                <w:vertAlign w:val="baseline"/>
                <w:lang w:val="en-US" w:eastAsia="zh-CN"/>
              </w:rPr>
            </w:pPr>
            <w:r>
              <w:rPr>
                <w:rFonts w:hint="eastAsia" w:ascii="宋体" w:hAnsi="宋体" w:cs="宋体"/>
                <w:sz w:val="20"/>
                <w:szCs w:val="20"/>
                <w:vertAlign w:val="baseline"/>
                <w:lang w:val="en-US" w:eastAsia="zh-CN"/>
              </w:rPr>
              <w:t>8</w:t>
            </w:r>
            <w:r>
              <w:rPr>
                <w:rFonts w:hint="eastAsia" w:ascii="宋体" w:hAnsi="宋体" w:eastAsia="宋体" w:cs="宋体"/>
                <w:sz w:val="20"/>
                <w:szCs w:val="20"/>
                <w:vertAlign w:val="baseline"/>
                <w:lang w:val="en-US" w:eastAsia="zh-CN"/>
              </w:rPr>
              <w:t>分</w:t>
            </w:r>
          </w:p>
        </w:tc>
      </w:tr>
      <w:tr w14:paraId="1AB4B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trPr>
        <w:tc>
          <w:tcPr>
            <w:tcW w:w="1314" w:type="dxa"/>
            <w:vMerge w:val="continue"/>
            <w:noWrap w:val="0"/>
            <w:vAlign w:val="center"/>
          </w:tcPr>
          <w:p w14:paraId="1912EC8E">
            <w:pPr>
              <w:jc w:val="center"/>
              <w:rPr>
                <w:rFonts w:hint="eastAsia" w:ascii="宋体" w:hAnsi="宋体" w:eastAsia="宋体" w:cs="宋体"/>
                <w:sz w:val="20"/>
                <w:szCs w:val="20"/>
                <w:vertAlign w:val="baseline"/>
                <w:lang w:val="en-US" w:eastAsia="zh-CN"/>
              </w:rPr>
            </w:pPr>
          </w:p>
        </w:tc>
        <w:tc>
          <w:tcPr>
            <w:tcW w:w="1245" w:type="dxa"/>
            <w:noWrap w:val="0"/>
            <w:vAlign w:val="center"/>
          </w:tcPr>
          <w:p w14:paraId="62D84CA0">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流动性比例</w:t>
            </w:r>
          </w:p>
        </w:tc>
        <w:tc>
          <w:tcPr>
            <w:tcW w:w="5040" w:type="dxa"/>
            <w:noWrap w:val="0"/>
            <w:vAlign w:val="center"/>
          </w:tcPr>
          <w:p w14:paraId="477D64DC">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流动性比例达到监管标准，即可获得基础分</w:t>
            </w:r>
            <w:r>
              <w:rPr>
                <w:rFonts w:hint="eastAsia" w:ascii="宋体" w:hAnsi="宋体" w:cs="宋体"/>
                <w:sz w:val="18"/>
                <w:szCs w:val="18"/>
                <w:vertAlign w:val="baseline"/>
                <w:lang w:val="en-US" w:eastAsia="zh-CN"/>
              </w:rPr>
              <w:t>6</w:t>
            </w:r>
            <w:r>
              <w:rPr>
                <w:rFonts w:hint="eastAsia" w:ascii="宋体" w:hAnsi="宋体" w:eastAsia="宋体" w:cs="宋体"/>
                <w:sz w:val="18"/>
                <w:szCs w:val="18"/>
                <w:vertAlign w:val="baseline"/>
                <w:lang w:val="en-US" w:eastAsia="zh-CN"/>
              </w:rPr>
              <w:t>分；其余</w:t>
            </w:r>
            <w:r>
              <w:rPr>
                <w:rFonts w:hint="eastAsia" w:ascii="宋体" w:hAnsi="宋体" w:cs="宋体"/>
                <w:sz w:val="18"/>
                <w:szCs w:val="18"/>
                <w:vertAlign w:val="baseline"/>
                <w:lang w:val="en-US" w:eastAsia="zh-CN"/>
              </w:rPr>
              <w:t>2</w:t>
            </w:r>
            <w:r>
              <w:rPr>
                <w:rFonts w:hint="eastAsia" w:ascii="宋体" w:hAnsi="宋体" w:eastAsia="宋体" w:cs="宋体"/>
                <w:sz w:val="18"/>
                <w:szCs w:val="18"/>
                <w:vertAlign w:val="baseline"/>
                <w:lang w:val="en-US" w:eastAsia="zh-CN"/>
              </w:rPr>
              <w:t>分，按照流动性比例进行递减排名，第一名得1分，从第二名开始依次递减0.1分，如数值相同，按同档计分。</w:t>
            </w:r>
          </w:p>
        </w:tc>
        <w:tc>
          <w:tcPr>
            <w:tcW w:w="923" w:type="dxa"/>
            <w:noWrap w:val="0"/>
            <w:vAlign w:val="center"/>
          </w:tcPr>
          <w:p w14:paraId="173D740B">
            <w:pPr>
              <w:jc w:val="center"/>
              <w:rPr>
                <w:rFonts w:hint="eastAsia" w:ascii="宋体" w:hAnsi="宋体" w:eastAsia="宋体" w:cs="宋体"/>
                <w:sz w:val="20"/>
                <w:szCs w:val="20"/>
                <w:vertAlign w:val="baseline"/>
                <w:lang w:val="en-US" w:eastAsia="zh-CN"/>
              </w:rPr>
            </w:pPr>
            <w:r>
              <w:rPr>
                <w:rFonts w:hint="eastAsia" w:ascii="宋体" w:hAnsi="宋体" w:cs="宋体"/>
                <w:sz w:val="20"/>
                <w:szCs w:val="20"/>
                <w:vertAlign w:val="baseline"/>
                <w:lang w:val="en-US" w:eastAsia="zh-CN"/>
              </w:rPr>
              <w:t>8</w:t>
            </w:r>
            <w:r>
              <w:rPr>
                <w:rFonts w:hint="eastAsia" w:ascii="宋体" w:hAnsi="宋体" w:eastAsia="宋体" w:cs="宋体"/>
                <w:sz w:val="20"/>
                <w:szCs w:val="20"/>
                <w:vertAlign w:val="baseline"/>
                <w:lang w:val="en-US" w:eastAsia="zh-CN"/>
              </w:rPr>
              <w:t>分</w:t>
            </w:r>
          </w:p>
        </w:tc>
      </w:tr>
      <w:tr w14:paraId="2A290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trPr>
        <w:tc>
          <w:tcPr>
            <w:tcW w:w="1314" w:type="dxa"/>
            <w:vMerge w:val="restart"/>
            <w:noWrap w:val="0"/>
            <w:vAlign w:val="center"/>
          </w:tcPr>
          <w:p w14:paraId="55FEA200">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二、服务水平（40分）</w:t>
            </w:r>
          </w:p>
        </w:tc>
        <w:tc>
          <w:tcPr>
            <w:tcW w:w="1245" w:type="dxa"/>
            <w:noWrap w:val="0"/>
            <w:vAlign w:val="center"/>
          </w:tcPr>
          <w:p w14:paraId="7F956594">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信息系统建设</w:t>
            </w:r>
          </w:p>
        </w:tc>
        <w:tc>
          <w:tcPr>
            <w:tcW w:w="5040" w:type="dxa"/>
            <w:noWrap w:val="0"/>
            <w:vAlign w:val="center"/>
          </w:tcPr>
          <w:p w14:paraId="58DBAA76">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网络连接可靠，系统服务运行高效稳定，业务响应及时，对系统故障能及时处理，能及时发现及改进系统潜在隐患，确保账户及资金安全，可获得基础分8分，其余2分，按照信息系统建设情况进行递减排名，第一名得2分，从第二名开始依次递减0.1分，如数值相同，按同档计分。</w:t>
            </w:r>
          </w:p>
        </w:tc>
        <w:tc>
          <w:tcPr>
            <w:tcW w:w="923" w:type="dxa"/>
            <w:noWrap w:val="0"/>
            <w:vAlign w:val="center"/>
          </w:tcPr>
          <w:p w14:paraId="2327ADE0">
            <w:pPr>
              <w:jc w:val="center"/>
              <w:rPr>
                <w:rFonts w:hint="default" w:ascii="宋体" w:hAnsi="宋体" w:eastAsia="宋体" w:cs="宋体"/>
                <w:sz w:val="20"/>
                <w:szCs w:val="20"/>
                <w:vertAlign w:val="baseline"/>
                <w:lang w:val="en-US" w:eastAsia="zh-CN"/>
              </w:rPr>
            </w:pPr>
            <w:r>
              <w:rPr>
                <w:rFonts w:hint="eastAsia" w:ascii="宋体" w:hAnsi="宋体" w:cs="宋体"/>
                <w:sz w:val="20"/>
                <w:szCs w:val="20"/>
                <w:vertAlign w:val="baseline"/>
                <w:lang w:val="en-US" w:eastAsia="zh-CN"/>
              </w:rPr>
              <w:t>10</w:t>
            </w:r>
            <w:r>
              <w:rPr>
                <w:rFonts w:hint="eastAsia" w:ascii="宋体" w:hAnsi="宋体" w:eastAsia="宋体" w:cs="宋体"/>
                <w:sz w:val="20"/>
                <w:szCs w:val="20"/>
                <w:vertAlign w:val="baseline"/>
                <w:lang w:val="en-US" w:eastAsia="zh-CN"/>
              </w:rPr>
              <w:t>分</w:t>
            </w:r>
          </w:p>
        </w:tc>
      </w:tr>
      <w:tr w14:paraId="6DA3C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trPr>
        <w:tc>
          <w:tcPr>
            <w:tcW w:w="1314" w:type="dxa"/>
            <w:vMerge w:val="continue"/>
            <w:noWrap w:val="0"/>
            <w:vAlign w:val="center"/>
          </w:tcPr>
          <w:p w14:paraId="63470564">
            <w:pPr>
              <w:jc w:val="center"/>
              <w:rPr>
                <w:rFonts w:hint="eastAsia" w:ascii="宋体" w:hAnsi="宋体" w:eastAsia="宋体" w:cs="宋体"/>
                <w:sz w:val="20"/>
                <w:szCs w:val="20"/>
                <w:vertAlign w:val="baseline"/>
                <w:lang w:val="en-US" w:eastAsia="zh-CN"/>
              </w:rPr>
            </w:pPr>
          </w:p>
        </w:tc>
        <w:tc>
          <w:tcPr>
            <w:tcW w:w="1245" w:type="dxa"/>
            <w:noWrap w:val="0"/>
            <w:vAlign w:val="center"/>
          </w:tcPr>
          <w:p w14:paraId="41ED0BD6">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资金支付及对账服务</w:t>
            </w:r>
          </w:p>
        </w:tc>
        <w:tc>
          <w:tcPr>
            <w:tcW w:w="5040" w:type="dxa"/>
            <w:noWrap w:val="0"/>
            <w:vAlign w:val="center"/>
          </w:tcPr>
          <w:p w14:paraId="3D49688F">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能按规定及时、准确的办理资金支付业务，业务流程简洁、规范，能按照加急业务办理程序办理特别紧急支出事项的，可获基础分4分，其余1分；能够在规定时间与单位进行对账，并提供格式规范的对账单的，可获基础分4分，其余1分。</w:t>
            </w:r>
          </w:p>
        </w:tc>
        <w:tc>
          <w:tcPr>
            <w:tcW w:w="923" w:type="dxa"/>
            <w:noWrap w:val="0"/>
            <w:vAlign w:val="center"/>
          </w:tcPr>
          <w:p w14:paraId="13DE7837">
            <w:pPr>
              <w:jc w:val="center"/>
              <w:rPr>
                <w:rFonts w:hint="default"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10分</w:t>
            </w:r>
          </w:p>
        </w:tc>
      </w:tr>
      <w:tr w14:paraId="14DE3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314" w:type="dxa"/>
            <w:vMerge w:val="continue"/>
            <w:noWrap w:val="0"/>
            <w:vAlign w:val="center"/>
          </w:tcPr>
          <w:p w14:paraId="3DBE36C3">
            <w:pPr>
              <w:jc w:val="center"/>
              <w:rPr>
                <w:rFonts w:hint="eastAsia" w:ascii="宋体" w:hAnsi="宋体" w:eastAsia="宋体" w:cs="宋体"/>
                <w:sz w:val="20"/>
                <w:szCs w:val="20"/>
                <w:vertAlign w:val="baseline"/>
                <w:lang w:val="en-US" w:eastAsia="zh-CN"/>
              </w:rPr>
            </w:pPr>
          </w:p>
        </w:tc>
        <w:tc>
          <w:tcPr>
            <w:tcW w:w="1245" w:type="dxa"/>
            <w:noWrap w:val="0"/>
            <w:vAlign w:val="center"/>
          </w:tcPr>
          <w:p w14:paraId="77DF58BF">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分账核算服务</w:t>
            </w:r>
          </w:p>
        </w:tc>
        <w:tc>
          <w:tcPr>
            <w:tcW w:w="5040" w:type="dxa"/>
            <w:noWrap w:val="0"/>
            <w:vAlign w:val="center"/>
          </w:tcPr>
          <w:p w14:paraId="4CF2D427">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能提供分账核算服务，子账户管理规范，操作便捷的，可获基础分4分，其余1分。</w:t>
            </w:r>
          </w:p>
        </w:tc>
        <w:tc>
          <w:tcPr>
            <w:tcW w:w="923" w:type="dxa"/>
            <w:noWrap w:val="0"/>
            <w:vAlign w:val="center"/>
          </w:tcPr>
          <w:p w14:paraId="48EC6EDE">
            <w:pPr>
              <w:jc w:val="center"/>
              <w:rPr>
                <w:rFonts w:hint="default"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5分</w:t>
            </w:r>
          </w:p>
        </w:tc>
      </w:tr>
      <w:tr w14:paraId="0189D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trPr>
        <w:tc>
          <w:tcPr>
            <w:tcW w:w="1314" w:type="dxa"/>
            <w:vMerge w:val="continue"/>
            <w:noWrap w:val="0"/>
            <w:vAlign w:val="center"/>
          </w:tcPr>
          <w:p w14:paraId="7AAA4F93">
            <w:pPr>
              <w:jc w:val="center"/>
              <w:rPr>
                <w:rFonts w:hint="eastAsia" w:ascii="宋体" w:hAnsi="宋体" w:eastAsia="宋体" w:cs="宋体"/>
                <w:sz w:val="20"/>
                <w:szCs w:val="20"/>
                <w:vertAlign w:val="baseline"/>
                <w:lang w:val="en-US" w:eastAsia="zh-CN"/>
              </w:rPr>
            </w:pPr>
          </w:p>
        </w:tc>
        <w:tc>
          <w:tcPr>
            <w:tcW w:w="1245" w:type="dxa"/>
            <w:noWrap w:val="0"/>
            <w:vAlign w:val="center"/>
          </w:tcPr>
          <w:p w14:paraId="37E4C4DE">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以往提供服务履约情况</w:t>
            </w:r>
          </w:p>
        </w:tc>
        <w:tc>
          <w:tcPr>
            <w:tcW w:w="5040" w:type="dxa"/>
            <w:noWrap w:val="0"/>
            <w:vAlign w:val="center"/>
          </w:tcPr>
          <w:p w14:paraId="37C4A629">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依法开展经营活动，近3年内在经营活动中无重大违法违规记录，信誉良好，及时计付存款人利息，资金支付无压单等情况，可获基础分8分，其余2分。</w:t>
            </w:r>
          </w:p>
        </w:tc>
        <w:tc>
          <w:tcPr>
            <w:tcW w:w="923" w:type="dxa"/>
            <w:noWrap w:val="0"/>
            <w:vAlign w:val="center"/>
          </w:tcPr>
          <w:p w14:paraId="50DA559A">
            <w:pPr>
              <w:jc w:val="center"/>
              <w:rPr>
                <w:rFonts w:hint="default"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10分</w:t>
            </w:r>
          </w:p>
        </w:tc>
      </w:tr>
      <w:tr w14:paraId="3CC77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314" w:type="dxa"/>
            <w:vMerge w:val="continue"/>
            <w:noWrap w:val="0"/>
            <w:vAlign w:val="center"/>
          </w:tcPr>
          <w:p w14:paraId="4E175CD9">
            <w:pPr>
              <w:jc w:val="center"/>
              <w:rPr>
                <w:rFonts w:hint="eastAsia" w:ascii="宋体" w:hAnsi="宋体" w:eastAsia="宋体" w:cs="宋体"/>
                <w:sz w:val="20"/>
                <w:szCs w:val="20"/>
                <w:vertAlign w:val="baseline"/>
                <w:lang w:val="en-US" w:eastAsia="zh-CN"/>
              </w:rPr>
            </w:pPr>
          </w:p>
        </w:tc>
        <w:tc>
          <w:tcPr>
            <w:tcW w:w="1245" w:type="dxa"/>
            <w:noWrap w:val="0"/>
            <w:vAlign w:val="center"/>
          </w:tcPr>
          <w:p w14:paraId="4CC4D12A">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创新或特色服务</w:t>
            </w:r>
          </w:p>
        </w:tc>
        <w:tc>
          <w:tcPr>
            <w:tcW w:w="5040" w:type="dxa"/>
            <w:noWrap w:val="0"/>
            <w:vAlign w:val="center"/>
          </w:tcPr>
          <w:p w14:paraId="4469DEA0">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能制定符合单位具体业务需要的创新或特色服务的，</w:t>
            </w:r>
            <w:r>
              <w:rPr>
                <w:rFonts w:hint="eastAsia" w:ascii="宋体" w:hAnsi="宋体" w:cs="宋体"/>
                <w:sz w:val="18"/>
                <w:szCs w:val="18"/>
                <w:vertAlign w:val="baseline"/>
                <w:lang w:val="en-US" w:eastAsia="zh-CN"/>
              </w:rPr>
              <w:t>可得</w:t>
            </w:r>
            <w:r>
              <w:rPr>
                <w:rFonts w:hint="eastAsia" w:ascii="宋体" w:hAnsi="宋体" w:eastAsia="宋体" w:cs="宋体"/>
                <w:sz w:val="18"/>
                <w:szCs w:val="18"/>
                <w:vertAlign w:val="baseline"/>
                <w:lang w:val="en-US" w:eastAsia="zh-CN"/>
              </w:rPr>
              <w:t>5分。</w:t>
            </w:r>
          </w:p>
        </w:tc>
        <w:tc>
          <w:tcPr>
            <w:tcW w:w="923" w:type="dxa"/>
            <w:noWrap w:val="0"/>
            <w:vAlign w:val="center"/>
          </w:tcPr>
          <w:p w14:paraId="2FDAD153">
            <w:pPr>
              <w:jc w:val="center"/>
              <w:rPr>
                <w:rFonts w:hint="default"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5分</w:t>
            </w:r>
          </w:p>
        </w:tc>
      </w:tr>
      <w:tr w14:paraId="42A51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trPr>
        <w:tc>
          <w:tcPr>
            <w:tcW w:w="1314" w:type="dxa"/>
            <w:noWrap w:val="0"/>
            <w:vAlign w:val="center"/>
          </w:tcPr>
          <w:p w14:paraId="4070A5A6">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三、利率水平（</w:t>
            </w:r>
            <w:r>
              <w:rPr>
                <w:rFonts w:hint="eastAsia" w:ascii="宋体" w:hAnsi="宋体" w:cs="宋体"/>
                <w:sz w:val="20"/>
                <w:szCs w:val="20"/>
                <w:vertAlign w:val="baseline"/>
                <w:lang w:val="en-US" w:eastAsia="zh-CN"/>
              </w:rPr>
              <w:t>2</w:t>
            </w:r>
            <w:r>
              <w:rPr>
                <w:rFonts w:hint="eastAsia" w:ascii="宋体" w:hAnsi="宋体" w:eastAsia="宋体" w:cs="宋体"/>
                <w:sz w:val="20"/>
                <w:szCs w:val="20"/>
                <w:vertAlign w:val="baseline"/>
                <w:lang w:val="en-US" w:eastAsia="zh-CN"/>
              </w:rPr>
              <w:t>0分）</w:t>
            </w:r>
          </w:p>
        </w:tc>
        <w:tc>
          <w:tcPr>
            <w:tcW w:w="1245" w:type="dxa"/>
            <w:noWrap w:val="0"/>
            <w:vAlign w:val="center"/>
          </w:tcPr>
          <w:p w14:paraId="7BAE3B0A">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存款利率</w:t>
            </w:r>
          </w:p>
        </w:tc>
        <w:tc>
          <w:tcPr>
            <w:tcW w:w="5040" w:type="dxa"/>
            <w:noWrap w:val="0"/>
            <w:vAlign w:val="center"/>
          </w:tcPr>
          <w:p w14:paraId="3A883607">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遵守国家利率政策规定及广西市场利率定价自律机制的协商议定范围，结合成本和风险等因素合理确定存款，按照利率偏离度打分，超出协商议定范围的为0分。同期基准得</w:t>
            </w:r>
            <w:r>
              <w:rPr>
                <w:rFonts w:hint="eastAsia" w:ascii="宋体" w:hAnsi="宋体" w:cs="宋体"/>
                <w:sz w:val="18"/>
                <w:szCs w:val="18"/>
                <w:vertAlign w:val="baseline"/>
                <w:lang w:val="en-US" w:eastAsia="zh-CN"/>
              </w:rPr>
              <w:t>8</w:t>
            </w:r>
            <w:r>
              <w:rPr>
                <w:rFonts w:hint="eastAsia" w:ascii="宋体" w:hAnsi="宋体" w:eastAsia="宋体" w:cs="宋体"/>
                <w:sz w:val="18"/>
                <w:szCs w:val="18"/>
                <w:vertAlign w:val="baseline"/>
                <w:lang w:val="en-US" w:eastAsia="zh-CN"/>
              </w:rPr>
              <w:t>分，利率上浮0-10%得</w:t>
            </w:r>
            <w:r>
              <w:rPr>
                <w:rFonts w:hint="eastAsia" w:ascii="宋体" w:hAnsi="宋体" w:cs="宋体"/>
                <w:sz w:val="18"/>
                <w:szCs w:val="18"/>
                <w:vertAlign w:val="baseline"/>
                <w:lang w:val="en-US" w:eastAsia="zh-CN"/>
              </w:rPr>
              <w:t>8</w:t>
            </w:r>
            <w:r>
              <w:rPr>
                <w:rFonts w:hint="eastAsia" w:ascii="宋体" w:hAnsi="宋体" w:eastAsia="宋体" w:cs="宋体"/>
                <w:sz w:val="18"/>
                <w:szCs w:val="18"/>
                <w:vertAlign w:val="baseline"/>
                <w:lang w:val="en-US" w:eastAsia="zh-CN"/>
              </w:rPr>
              <w:t>-</w:t>
            </w:r>
            <w:r>
              <w:rPr>
                <w:rFonts w:hint="eastAsia" w:ascii="宋体" w:hAnsi="宋体" w:cs="宋体"/>
                <w:sz w:val="18"/>
                <w:szCs w:val="18"/>
                <w:vertAlign w:val="baseline"/>
                <w:lang w:val="en-US" w:eastAsia="zh-CN"/>
              </w:rPr>
              <w:t>12</w:t>
            </w:r>
            <w:r>
              <w:rPr>
                <w:rFonts w:hint="eastAsia" w:ascii="宋体" w:hAnsi="宋体" w:eastAsia="宋体" w:cs="宋体"/>
                <w:sz w:val="18"/>
                <w:szCs w:val="18"/>
                <w:vertAlign w:val="baseline"/>
                <w:lang w:val="en-US" w:eastAsia="zh-CN"/>
              </w:rPr>
              <w:t>分；利率上浮10-20%得</w:t>
            </w:r>
            <w:r>
              <w:rPr>
                <w:rFonts w:hint="eastAsia" w:ascii="宋体" w:hAnsi="宋体" w:cs="宋体"/>
                <w:sz w:val="18"/>
                <w:szCs w:val="18"/>
                <w:vertAlign w:val="baseline"/>
                <w:lang w:val="en-US" w:eastAsia="zh-CN"/>
              </w:rPr>
              <w:t>12</w:t>
            </w:r>
            <w:r>
              <w:rPr>
                <w:rFonts w:hint="eastAsia" w:ascii="宋体" w:hAnsi="宋体" w:eastAsia="宋体" w:cs="宋体"/>
                <w:sz w:val="18"/>
                <w:szCs w:val="18"/>
                <w:vertAlign w:val="baseline"/>
                <w:lang w:val="en-US" w:eastAsia="zh-CN"/>
              </w:rPr>
              <w:t>-</w:t>
            </w:r>
            <w:r>
              <w:rPr>
                <w:rFonts w:hint="eastAsia" w:ascii="宋体" w:hAnsi="宋体" w:cs="宋体"/>
                <w:sz w:val="18"/>
                <w:szCs w:val="18"/>
                <w:vertAlign w:val="baseline"/>
                <w:lang w:val="en-US" w:eastAsia="zh-CN"/>
              </w:rPr>
              <w:t>16</w:t>
            </w:r>
            <w:r>
              <w:rPr>
                <w:rFonts w:hint="eastAsia" w:ascii="宋体" w:hAnsi="宋体" w:eastAsia="宋体" w:cs="宋体"/>
                <w:sz w:val="18"/>
                <w:szCs w:val="18"/>
                <w:vertAlign w:val="baseline"/>
                <w:lang w:val="en-US" w:eastAsia="zh-CN"/>
              </w:rPr>
              <w:t>分；利率上浮20-30%得</w:t>
            </w:r>
            <w:r>
              <w:rPr>
                <w:rFonts w:hint="eastAsia" w:ascii="宋体" w:hAnsi="宋体" w:cs="宋体"/>
                <w:sz w:val="18"/>
                <w:szCs w:val="18"/>
                <w:vertAlign w:val="baseline"/>
                <w:lang w:val="en-US" w:eastAsia="zh-CN"/>
              </w:rPr>
              <w:t>16</w:t>
            </w:r>
            <w:r>
              <w:rPr>
                <w:rFonts w:hint="eastAsia" w:ascii="宋体" w:hAnsi="宋体" w:eastAsia="宋体" w:cs="宋体"/>
                <w:sz w:val="18"/>
                <w:szCs w:val="18"/>
                <w:vertAlign w:val="baseline"/>
                <w:lang w:val="en-US" w:eastAsia="zh-CN"/>
              </w:rPr>
              <w:t>-</w:t>
            </w:r>
            <w:r>
              <w:rPr>
                <w:rFonts w:hint="eastAsia" w:ascii="宋体" w:hAnsi="宋体" w:cs="宋体"/>
                <w:sz w:val="18"/>
                <w:szCs w:val="18"/>
                <w:vertAlign w:val="baseline"/>
                <w:lang w:val="en-US" w:eastAsia="zh-CN"/>
              </w:rPr>
              <w:t>20</w:t>
            </w:r>
            <w:r>
              <w:rPr>
                <w:rFonts w:hint="eastAsia" w:ascii="宋体" w:hAnsi="宋体" w:eastAsia="宋体" w:cs="宋体"/>
                <w:sz w:val="18"/>
                <w:szCs w:val="18"/>
                <w:vertAlign w:val="baseline"/>
                <w:lang w:val="en-US" w:eastAsia="zh-CN"/>
              </w:rPr>
              <w:t>分；利率上浮超过30%得</w:t>
            </w:r>
            <w:r>
              <w:rPr>
                <w:rFonts w:hint="eastAsia" w:ascii="宋体" w:hAnsi="宋体" w:cs="宋体"/>
                <w:sz w:val="18"/>
                <w:szCs w:val="18"/>
                <w:vertAlign w:val="baseline"/>
                <w:lang w:val="en-US" w:eastAsia="zh-CN"/>
              </w:rPr>
              <w:t>2</w:t>
            </w:r>
            <w:r>
              <w:rPr>
                <w:rFonts w:hint="eastAsia" w:ascii="宋体" w:hAnsi="宋体" w:eastAsia="宋体" w:cs="宋体"/>
                <w:sz w:val="18"/>
                <w:szCs w:val="18"/>
                <w:vertAlign w:val="baseline"/>
                <w:lang w:val="en-US" w:eastAsia="zh-CN"/>
              </w:rPr>
              <w:t>0分。</w:t>
            </w:r>
          </w:p>
        </w:tc>
        <w:tc>
          <w:tcPr>
            <w:tcW w:w="923" w:type="dxa"/>
            <w:noWrap w:val="0"/>
            <w:vAlign w:val="center"/>
          </w:tcPr>
          <w:p w14:paraId="66E0FE4E">
            <w:pPr>
              <w:jc w:val="center"/>
              <w:rPr>
                <w:rFonts w:hint="default" w:ascii="宋体" w:hAnsi="宋体" w:eastAsia="宋体" w:cs="宋体"/>
                <w:sz w:val="20"/>
                <w:szCs w:val="20"/>
                <w:vertAlign w:val="baseline"/>
                <w:lang w:val="en-US" w:eastAsia="zh-CN"/>
              </w:rPr>
            </w:pPr>
            <w:r>
              <w:rPr>
                <w:rFonts w:hint="eastAsia" w:ascii="宋体" w:hAnsi="宋体" w:cs="宋体"/>
                <w:sz w:val="20"/>
                <w:szCs w:val="20"/>
                <w:vertAlign w:val="baseline"/>
                <w:lang w:val="en-US" w:eastAsia="zh-CN"/>
              </w:rPr>
              <w:t>2</w:t>
            </w:r>
            <w:r>
              <w:rPr>
                <w:rFonts w:hint="eastAsia" w:ascii="宋体" w:hAnsi="宋体" w:eastAsia="宋体" w:cs="宋体"/>
                <w:sz w:val="20"/>
                <w:szCs w:val="20"/>
                <w:vertAlign w:val="baseline"/>
                <w:lang w:val="en-US" w:eastAsia="zh-CN"/>
              </w:rPr>
              <w:t>0分</w:t>
            </w:r>
          </w:p>
        </w:tc>
      </w:tr>
    </w:tbl>
    <w:p w14:paraId="4D46A29D">
      <w:pP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注：1.本表填报的监管指标数据应为同一级别指标（例如：统一采用总行</w:t>
      </w:r>
      <w:r>
        <w:rPr>
          <w:rFonts w:hint="eastAsia" w:ascii="宋体" w:hAnsi="宋体" w:eastAsia="宋体" w:cs="宋体"/>
          <w:sz w:val="20"/>
          <w:szCs w:val="20"/>
          <w:lang w:val="en" w:eastAsia="zh-CN"/>
        </w:rPr>
        <w:t>/区行/市分行</w:t>
      </w:r>
      <w:r>
        <w:rPr>
          <w:rFonts w:hint="eastAsia" w:ascii="宋体" w:hAnsi="宋体" w:eastAsia="宋体" w:cs="宋体"/>
          <w:sz w:val="20"/>
          <w:szCs w:val="20"/>
          <w:lang w:val="en-US" w:eastAsia="zh-CN"/>
        </w:rPr>
        <w:t>指标）。</w:t>
      </w:r>
    </w:p>
    <w:p w14:paraId="7765E82C">
      <w:pPr>
        <w:ind w:firstLine="400" w:firstLineChars="200"/>
        <w:rPr>
          <w:rFonts w:hint="eastAsia"/>
          <w:sz w:val="20"/>
          <w:szCs w:val="20"/>
          <w:lang w:val="en-US" w:eastAsia="zh-CN"/>
        </w:rPr>
      </w:pPr>
      <w:r>
        <w:rPr>
          <w:rFonts w:hint="eastAsia" w:ascii="宋体" w:hAnsi="宋体" w:eastAsia="宋体" w:cs="宋体"/>
          <w:sz w:val="20"/>
          <w:szCs w:val="20"/>
          <w:lang w:val="en-US" w:eastAsia="zh-CN"/>
        </w:rPr>
        <w:t>2.本表填报的监管指标数据相应证明文件附后。</w:t>
      </w:r>
    </w:p>
    <w:p w14:paraId="52ADC4C2">
      <w:pPr>
        <w:rPr>
          <w:rFonts w:hint="eastAsia"/>
          <w:lang w:val="en-US" w:eastAsia="zh-CN"/>
        </w:rPr>
      </w:pPr>
    </w:p>
    <w:p w14:paraId="75D0B4EB">
      <w:pPr>
        <w:rPr>
          <w:rFonts w:hint="eastAsia"/>
          <w:lang w:val="en-US" w:eastAsia="zh-CN"/>
        </w:rPr>
      </w:pPr>
    </w:p>
    <w:p w14:paraId="18A0CA5F">
      <w:pPr>
        <w:rPr>
          <w:rFonts w:hint="eastAsia"/>
          <w:lang w:val="en-US" w:eastAsia="zh-CN"/>
        </w:rPr>
      </w:pPr>
    </w:p>
    <w:p w14:paraId="5CD46BD6">
      <w:pPr>
        <w:rPr>
          <w:rFonts w:hint="eastAsia"/>
          <w:lang w:val="en-US" w:eastAsia="zh-CN"/>
        </w:rPr>
      </w:pPr>
    </w:p>
    <w:p w14:paraId="6A199D74">
      <w:pPr>
        <w:ind w:left="0" w:leftChars="0" w:firstLine="0" w:firstLineChars="0"/>
        <w:rPr>
          <w:rFonts w:hint="eastAsia" w:ascii="仿宋_GB2312" w:hAnsi="仿宋_GB2312" w:eastAsia="仿宋_GB2312" w:cs="仿宋_GB2312"/>
          <w:sz w:val="32"/>
          <w:szCs w:val="32"/>
        </w:rPr>
      </w:pPr>
      <w:r>
        <w:rPr>
          <w:rFonts w:hint="eastAsia"/>
          <w:lang w:val="en-US" w:eastAsia="zh-CN"/>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eastAsia="zh-CN"/>
        </w:rPr>
        <w:t>梧州分行</w:t>
      </w:r>
      <w:r>
        <w:rPr>
          <w:rFonts w:hint="eastAsia" w:ascii="仿宋_GB2312" w:hAnsi="仿宋_GB2312" w:eastAsia="仿宋_GB2312" w:cs="仿宋_GB2312"/>
          <w:sz w:val="32"/>
          <w:szCs w:val="32"/>
        </w:rPr>
        <w:t>（单位公章）</w:t>
      </w:r>
    </w:p>
    <w:p w14:paraId="624C9573">
      <w:pPr>
        <w:ind w:firstLine="5120" w:firstLineChars="1600"/>
        <w:rPr>
          <w:rFonts w:hint="default"/>
          <w:lang w:val="en-US"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 xml:space="preserve">年  月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p>
    <w:p w14:paraId="1006837A">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15B13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Office_12.1.0.23122_F1E327BC-269C-435d-A152-05C5408002CA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2025-10-31T09:46:23Z</dcterms:created>
  <dc:creator>cbinstall</dc:creator>
  <cp:lastModifiedBy>熹熹</cp:lastModifiedBy>
  <dcterms:modified xsi:type="dcterms:W3CDTF">2025-10-31T09:46:27Z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2052-12.1.0.23122</vt:lpwstr>
  </property>
  <property fmtid="{D5CDD505-2E9C-101B-9397-08002B2CF9AE}" pid="3" name="KSOTemplateDocerSaveRecord">
    <vt:lpwstr>eyJoZGlkIjoiZjBkMGM1YjQ5NGRkYmU1MmExODcxYTkxMWE4YmYwYWYiLCJ1c2VySWQiOiI3NTg5MzU4ODQifQ==</vt:lpwstr>
  </property>
  <property fmtid="{D5CDD505-2E9C-101B-9397-08002B2CF9AE}" pid="4" name="ICV">
    <vt:lpwstr>A3AF9262B1D04970A3D41AE0DD5C2F2D_12</vt:lpwstr>
  </property>
</Properties>
</file>